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EA" w:rsidRDefault="00DE1DE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9916518" cy="3657600"/>
            <wp:effectExtent l="0" t="0" r="8890" b="0"/>
            <wp:wrapNone/>
            <wp:docPr id="6" name="Obrázek 6" descr="https://img.kurzy.cz/zpravy/obrazky/80/473080-na-kotlikove-dotace-prijdou-krajum-miliardy-nejvic-na-sever-moravy/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kurzy.cz/zpravy/obrazky/80/473080-na-kotlikove-dotace-prijdou-krajum-miliardy-nejvic-na-sever-moravy/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873" cy="366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5C" w:rsidRDefault="0008125C"/>
    <w:p w:rsidR="00DE1DE3" w:rsidRDefault="00DE1DE3"/>
    <w:p w:rsidR="00DE1DE3" w:rsidRDefault="00DE1DE3"/>
    <w:p w:rsidR="00DE1DE3" w:rsidRDefault="00DE1DE3"/>
    <w:p w:rsidR="00DE1DE3" w:rsidRDefault="00DE1DE3"/>
    <w:p w:rsidR="00DE1DE3" w:rsidRDefault="00DE1DE3"/>
    <w:p w:rsidR="00E23228" w:rsidRDefault="00E23228" w:rsidP="00B0226D">
      <w:pPr>
        <w:ind w:firstLine="708"/>
        <w:rPr>
          <w:rFonts w:ascii="Neue Haas Grotesk Text Pro" w:hAnsi="Neue Haas Grotesk Text Pro" w:cstheme="minorHAnsi"/>
          <w:color w:val="2F5496" w:themeColor="accent5" w:themeShade="BF"/>
          <w:sz w:val="32"/>
          <w:szCs w:val="32"/>
        </w:rPr>
      </w:pPr>
    </w:p>
    <w:p w:rsidR="00E23228" w:rsidRDefault="00E23228" w:rsidP="00B0226D">
      <w:pPr>
        <w:ind w:firstLine="708"/>
        <w:rPr>
          <w:rFonts w:ascii="Neue Haas Grotesk Text Pro" w:hAnsi="Neue Haas Grotesk Text Pro" w:cstheme="minorHAnsi"/>
          <w:color w:val="2F5496" w:themeColor="accent5" w:themeShade="BF"/>
          <w:sz w:val="32"/>
          <w:szCs w:val="32"/>
        </w:rPr>
      </w:pPr>
    </w:p>
    <w:p w:rsidR="00E23228" w:rsidRDefault="00E23228" w:rsidP="00B0226D">
      <w:pPr>
        <w:ind w:firstLine="708"/>
        <w:rPr>
          <w:rFonts w:ascii="Neue Haas Grotesk Text Pro" w:hAnsi="Neue Haas Grotesk Text Pro" w:cstheme="minorHAnsi"/>
          <w:color w:val="2F5496" w:themeColor="accent5" w:themeShade="BF"/>
          <w:sz w:val="32"/>
          <w:szCs w:val="32"/>
        </w:rPr>
      </w:pPr>
    </w:p>
    <w:p w:rsidR="00E23228" w:rsidRDefault="00E23228" w:rsidP="00B0226D">
      <w:pPr>
        <w:ind w:firstLine="708"/>
        <w:rPr>
          <w:rFonts w:ascii="Neue Haas Grotesk Text Pro" w:hAnsi="Neue Haas Grotesk Text Pro" w:cstheme="minorHAnsi"/>
          <w:color w:val="2F5496" w:themeColor="accent5" w:themeShade="BF"/>
          <w:sz w:val="32"/>
          <w:szCs w:val="32"/>
        </w:rPr>
      </w:pPr>
    </w:p>
    <w:p w:rsidR="00DE1DE3" w:rsidRPr="00E23228" w:rsidRDefault="00DE1DE3" w:rsidP="00E23228">
      <w:pPr>
        <w:rPr>
          <w:rFonts w:ascii="Neue Haas Grotesk Text Pro" w:hAnsi="Neue Haas Grotesk Text Pro" w:cstheme="minorHAnsi"/>
          <w:color w:val="2F5496" w:themeColor="accent5" w:themeShade="BF"/>
          <w:sz w:val="72"/>
          <w:szCs w:val="72"/>
        </w:rPr>
      </w:pPr>
      <w:r w:rsidRPr="00E23228">
        <w:rPr>
          <w:rFonts w:ascii="Neue Haas Grotesk Text Pro" w:hAnsi="Neue Haas Grotesk Text Pro" w:cstheme="minorHAnsi"/>
          <w:color w:val="2F5496" w:themeColor="accent5" w:themeShade="BF"/>
          <w:sz w:val="72"/>
          <w:szCs w:val="72"/>
        </w:rPr>
        <w:t>Kotlíkové dotace 2022</w:t>
      </w:r>
    </w:p>
    <w:p w:rsidR="009A69F9" w:rsidRDefault="009A69F9">
      <w:pPr>
        <w:rPr>
          <w:rFonts w:asciiTheme="minorHAnsi" w:hAnsiTheme="minorHAnsi" w:cstheme="minorHAnsi"/>
          <w:sz w:val="24"/>
          <w:szCs w:val="24"/>
        </w:rPr>
      </w:pPr>
    </w:p>
    <w:p w:rsidR="00E23228" w:rsidRDefault="00E23228">
      <w:pPr>
        <w:rPr>
          <w:rFonts w:asciiTheme="minorHAnsi" w:hAnsiTheme="minorHAnsi" w:cstheme="minorHAnsi"/>
          <w:sz w:val="24"/>
          <w:szCs w:val="24"/>
        </w:rPr>
      </w:pPr>
    </w:p>
    <w:p w:rsidR="00E23228" w:rsidRDefault="00E23228">
      <w:pPr>
        <w:rPr>
          <w:rFonts w:asciiTheme="minorHAnsi" w:hAnsiTheme="minorHAnsi" w:cstheme="minorHAnsi"/>
          <w:sz w:val="24"/>
          <w:szCs w:val="24"/>
        </w:rPr>
      </w:pPr>
    </w:p>
    <w:p w:rsidR="00976069" w:rsidRPr="00976069" w:rsidRDefault="00976069" w:rsidP="00AF115A">
      <w:pPr>
        <w:pStyle w:val="Nadpis2"/>
        <w:shd w:val="clear" w:color="auto" w:fill="FFFFFF"/>
        <w:spacing w:before="0"/>
        <w:rPr>
          <w:rStyle w:val="Siln"/>
          <w:rFonts w:ascii="Segoe UI" w:hAnsi="Segoe UI" w:cs="Segoe UI"/>
          <w:bCs w:val="0"/>
          <w:color w:val="0B519C"/>
          <w:sz w:val="28"/>
          <w:szCs w:val="28"/>
        </w:rPr>
      </w:pPr>
    </w:p>
    <w:p w:rsidR="00AF115A" w:rsidRPr="00E23228" w:rsidRDefault="00AF115A" w:rsidP="00AF115A">
      <w:pPr>
        <w:pStyle w:val="Nadpis2"/>
        <w:shd w:val="clear" w:color="auto" w:fill="FFFFFF"/>
        <w:spacing w:before="0"/>
        <w:rPr>
          <w:rFonts w:ascii="Segoe UI" w:hAnsi="Segoe UI" w:cs="Segoe UI"/>
          <w:color w:val="0B519C"/>
          <w:sz w:val="72"/>
          <w:szCs w:val="72"/>
        </w:rPr>
      </w:pPr>
      <w:r w:rsidRPr="00E23228">
        <w:rPr>
          <w:rStyle w:val="Siln"/>
          <w:rFonts w:ascii="Segoe UI" w:hAnsi="Segoe UI" w:cs="Segoe UI"/>
          <w:bCs w:val="0"/>
          <w:color w:val="0B519C"/>
          <w:sz w:val="72"/>
          <w:szCs w:val="72"/>
        </w:rPr>
        <w:t>Dotace pro domácnosti s nižšími příjmy</w:t>
      </w:r>
    </w:p>
    <w:p w:rsidR="00976069" w:rsidRDefault="00976069" w:rsidP="00AF115A">
      <w:pPr>
        <w:pStyle w:val="Normlnweb"/>
        <w:shd w:val="clear" w:color="auto" w:fill="FFFFFF"/>
        <w:jc w:val="both"/>
        <w:rPr>
          <w:rStyle w:val="Siln"/>
          <w:rFonts w:ascii="Segoe UI" w:hAnsi="Segoe UI" w:cs="Segoe UI"/>
          <w:color w:val="212529"/>
          <w:sz w:val="36"/>
          <w:szCs w:val="36"/>
        </w:rPr>
      </w:pPr>
    </w:p>
    <w:p w:rsidR="00E23228" w:rsidRDefault="00AF115A" w:rsidP="00AF115A">
      <w:pPr>
        <w:pStyle w:val="Normlnweb"/>
        <w:shd w:val="clear" w:color="auto" w:fill="FFFFFF"/>
        <w:jc w:val="both"/>
        <w:rPr>
          <w:rStyle w:val="Siln"/>
          <w:rFonts w:ascii="Segoe UI" w:hAnsi="Segoe UI" w:cs="Segoe UI"/>
          <w:color w:val="212529"/>
          <w:sz w:val="36"/>
          <w:szCs w:val="36"/>
        </w:rPr>
      </w:pP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 xml:space="preserve">Pro domácnosti s nižším příjmem, jako jsou třeba samoživitelé nebo senioři bude v tomto případě 95 % způsobilých výdajů. </w:t>
      </w:r>
    </w:p>
    <w:p w:rsidR="00AF115A" w:rsidRPr="00E23228" w:rsidRDefault="00AF115A" w:rsidP="00AF115A">
      <w:pPr>
        <w:pStyle w:val="Normlnweb"/>
        <w:shd w:val="clear" w:color="auto" w:fill="FFFFFF"/>
        <w:jc w:val="both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>Kritériem pro určení</w:t>
      </w:r>
      <w:r w:rsidRPr="00E23228">
        <w:rPr>
          <w:rFonts w:ascii="Segoe UI" w:hAnsi="Segoe UI" w:cs="Segoe UI"/>
          <w:color w:val="212529"/>
          <w:sz w:val="36"/>
          <w:szCs w:val="36"/>
        </w:rPr>
        <w:t>, kdo může využít dotaci pro domácnosti s nižším příjmem, je výše průměrného čistého příjmu na člena domácnosti, která v roce 2020 nepřesáhla 170 900 Kč, tj.</w:t>
      </w: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> 14 242 Kč čistého příjmu na osobu měsíčně</w:t>
      </w:r>
      <w:r w:rsidRPr="00E23228">
        <w:rPr>
          <w:rFonts w:ascii="Segoe UI" w:hAnsi="Segoe UI" w:cs="Segoe UI"/>
          <w:color w:val="212529"/>
          <w:sz w:val="36"/>
          <w:szCs w:val="36"/>
        </w:rPr>
        <w:t>.</w:t>
      </w:r>
    </w:p>
    <w:p w:rsidR="00976069" w:rsidRDefault="00976069" w:rsidP="00AF115A">
      <w:pPr>
        <w:pStyle w:val="Nadpis3"/>
        <w:shd w:val="clear" w:color="auto" w:fill="FFFFFF"/>
        <w:spacing w:before="0"/>
        <w:rPr>
          <w:rFonts w:ascii="Segoe UI" w:hAnsi="Segoe UI" w:cs="Segoe UI"/>
          <w:b/>
          <w:bCs/>
          <w:color w:val="0B519C"/>
          <w:sz w:val="36"/>
          <w:szCs w:val="36"/>
        </w:rPr>
      </w:pPr>
    </w:p>
    <w:p w:rsidR="00AF115A" w:rsidRPr="008F58A1" w:rsidRDefault="00AF115A" w:rsidP="00AF115A">
      <w:pPr>
        <w:pStyle w:val="Nadpis3"/>
        <w:shd w:val="clear" w:color="auto" w:fill="FFFFFF"/>
        <w:spacing w:before="0"/>
        <w:rPr>
          <w:rFonts w:ascii="Segoe UI" w:hAnsi="Segoe UI" w:cs="Segoe UI"/>
          <w:color w:val="0B519C"/>
          <w:sz w:val="72"/>
          <w:szCs w:val="72"/>
        </w:rPr>
      </w:pPr>
      <w:r w:rsidRPr="008F58A1">
        <w:rPr>
          <w:rFonts w:ascii="Segoe UI" w:hAnsi="Segoe UI" w:cs="Segoe UI"/>
          <w:b/>
          <w:bCs/>
          <w:color w:val="0B519C"/>
          <w:sz w:val="72"/>
          <w:szCs w:val="72"/>
        </w:rPr>
        <w:t>Kdo může o dotaci žádat a jak spočítat příjem</w:t>
      </w:r>
    </w:p>
    <w:p w:rsidR="00AF115A" w:rsidRPr="00E23228" w:rsidRDefault="00AF115A" w:rsidP="00AF1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Fonts w:ascii="Segoe UI" w:hAnsi="Segoe UI" w:cs="Segoe UI"/>
          <w:color w:val="212529"/>
          <w:sz w:val="36"/>
          <w:szCs w:val="36"/>
        </w:rPr>
        <w:t>vlastník nebo spoluvlastník nemovitosti (rodinného nebo bytového domu, bytové jednotky nebo trvale obývaného rekreačního objektu)</w:t>
      </w:r>
    </w:p>
    <w:p w:rsidR="00AF115A" w:rsidRPr="00E23228" w:rsidRDefault="00AF115A" w:rsidP="00AF1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Fonts w:ascii="Segoe UI" w:hAnsi="Segoe UI" w:cs="Segoe UI"/>
          <w:color w:val="212529"/>
          <w:sz w:val="36"/>
          <w:szCs w:val="36"/>
        </w:rPr>
        <w:t>průměrný čistý příjem na člena domácnosti v roce 2020 nebyl vyšší než 170 900 Kč, tj. 14 242 Kč na osobu a měsíc. Příjmy členů domácnosti – osob bydlících společně se žadatelem – jsou průměrovány</w:t>
      </w:r>
    </w:p>
    <w:p w:rsidR="00AF115A" w:rsidRPr="00E23228" w:rsidRDefault="00AF115A" w:rsidP="00AF1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Fonts w:ascii="Segoe UI" w:hAnsi="Segoe UI" w:cs="Segoe UI"/>
          <w:color w:val="212529"/>
          <w:sz w:val="36"/>
          <w:szCs w:val="36"/>
        </w:rPr>
        <w:t>sledovány budou jen běžné příjmy za rok 2020 – zdanitelné příjmy, důchody a vybrané typy dávek</w:t>
      </w:r>
    </w:p>
    <w:p w:rsidR="00AF115A" w:rsidRPr="00E23228" w:rsidRDefault="00AF115A" w:rsidP="00AF1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Fonts w:ascii="Segoe UI" w:hAnsi="Segoe UI" w:cs="Segoe UI"/>
          <w:color w:val="212529"/>
          <w:sz w:val="36"/>
          <w:szCs w:val="36"/>
        </w:rPr>
        <w:t>domácnosti složené výhradně z důchodců pobírajících starobní důchod nebo invalidní důchod 3. stupně nebudou muset dokládat příjmy, jsou automaticky způsobilí pro dotaci</w:t>
      </w:r>
    </w:p>
    <w:p w:rsidR="00AF115A" w:rsidRPr="00E23228" w:rsidRDefault="00AF115A" w:rsidP="00AF1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Fonts w:ascii="Segoe UI" w:hAnsi="Segoe UI" w:cs="Segoe UI"/>
          <w:color w:val="212529"/>
          <w:sz w:val="36"/>
          <w:szCs w:val="36"/>
        </w:rPr>
        <w:t>u nezletilých dětí a studentů do 26 let se uvažují příjmy ve výši 0 Kč</w:t>
      </w:r>
    </w:p>
    <w:p w:rsidR="00AF115A" w:rsidRPr="008F58A1" w:rsidRDefault="00AF115A" w:rsidP="00AF115A">
      <w:pPr>
        <w:pStyle w:val="Nadpis3"/>
        <w:shd w:val="clear" w:color="auto" w:fill="FFFFFF"/>
        <w:spacing w:before="0"/>
        <w:rPr>
          <w:rFonts w:ascii="Segoe UI" w:hAnsi="Segoe UI" w:cs="Segoe UI"/>
          <w:color w:val="0B519C"/>
          <w:sz w:val="72"/>
          <w:szCs w:val="72"/>
        </w:rPr>
      </w:pPr>
      <w:r w:rsidRPr="008F58A1">
        <w:rPr>
          <w:rFonts w:ascii="Segoe UI" w:hAnsi="Segoe UI" w:cs="Segoe UI"/>
          <w:b/>
          <w:bCs/>
          <w:color w:val="0B519C"/>
          <w:sz w:val="72"/>
          <w:szCs w:val="72"/>
        </w:rPr>
        <w:t>Na co lze dotaci čerpat</w:t>
      </w:r>
    </w:p>
    <w:p w:rsidR="00AF115A" w:rsidRPr="00E23228" w:rsidRDefault="00AF115A" w:rsidP="00E232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Fonts w:ascii="Segoe UI" w:hAnsi="Segoe UI" w:cs="Segoe UI"/>
          <w:color w:val="212529"/>
          <w:sz w:val="36"/>
          <w:szCs w:val="36"/>
        </w:rPr>
        <w:t>na výměnu kotle na pevná paliva nesplňujícího 3., 4. a 5. emisní třídu za nový ekologický zdroj</w:t>
      </w:r>
    </w:p>
    <w:p w:rsidR="00AF115A" w:rsidRPr="00E23228" w:rsidRDefault="00AF115A" w:rsidP="00AF115A">
      <w:pPr>
        <w:pStyle w:val="Normlnweb"/>
        <w:shd w:val="clear" w:color="auto" w:fill="FFFFFF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>Typy podporovaných zdrojů tepla:</w:t>
      </w:r>
    </w:p>
    <w:p w:rsidR="00AF115A" w:rsidRPr="00E23228" w:rsidRDefault="00AF115A" w:rsidP="00AF11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>kotel na biomasu</w:t>
      </w:r>
      <w:r w:rsidRPr="00E23228">
        <w:rPr>
          <w:rFonts w:ascii="Segoe UI" w:hAnsi="Segoe UI" w:cs="Segoe UI"/>
          <w:color w:val="212529"/>
          <w:sz w:val="36"/>
          <w:szCs w:val="36"/>
        </w:rPr>
        <w:t> (min. energetická třída A+ a parametry podle nařízení komise č. 2015/1189)</w:t>
      </w:r>
    </w:p>
    <w:p w:rsidR="00AF115A" w:rsidRPr="00E23228" w:rsidRDefault="00AF115A" w:rsidP="00AF11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>elektrická a plynová tepelná čerpadla</w:t>
      </w:r>
      <w:r w:rsidRPr="00E23228">
        <w:rPr>
          <w:rFonts w:ascii="Segoe UI" w:hAnsi="Segoe UI" w:cs="Segoe UI"/>
          <w:color w:val="212529"/>
          <w:sz w:val="36"/>
          <w:szCs w:val="36"/>
        </w:rPr>
        <w:t> (min. energetická třída A+ a parametry podle nařízení Komise (EU) č. 813/2013)</w:t>
      </w:r>
    </w:p>
    <w:p w:rsidR="00AF115A" w:rsidRPr="00E23228" w:rsidRDefault="00AF115A" w:rsidP="00AF11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lastRenderedPageBreak/>
        <w:t>plynový kondenzační kotel</w:t>
      </w:r>
      <w:r w:rsidRPr="00E23228">
        <w:rPr>
          <w:rFonts w:ascii="Segoe UI" w:hAnsi="Segoe UI" w:cs="Segoe UI"/>
          <w:color w:val="212529"/>
          <w:sz w:val="36"/>
          <w:szCs w:val="36"/>
        </w:rPr>
        <w:t xml:space="preserve"> (min. energetická třída A </w:t>
      </w:r>
      <w:proofErr w:type="spellStart"/>
      <w:r w:rsidRPr="00E23228">
        <w:rPr>
          <w:rFonts w:ascii="Segoe UI" w:hAnsi="Segoe UI" w:cs="Segoe UI"/>
          <w:color w:val="212529"/>
          <w:sz w:val="36"/>
          <w:szCs w:val="36"/>
        </w:rPr>
        <w:t>a</w:t>
      </w:r>
      <w:proofErr w:type="spellEnd"/>
      <w:r w:rsidRPr="00E23228">
        <w:rPr>
          <w:rFonts w:ascii="Segoe UI" w:hAnsi="Segoe UI" w:cs="Segoe UI"/>
          <w:color w:val="212529"/>
          <w:sz w:val="36"/>
          <w:szCs w:val="36"/>
        </w:rPr>
        <w:t xml:space="preserve"> parametry podle nařízení Komise (EU) č. 813/2013)</w:t>
      </w:r>
    </w:p>
    <w:p w:rsidR="00AF115A" w:rsidRPr="008F58A1" w:rsidRDefault="00AF115A" w:rsidP="00AF115A">
      <w:pPr>
        <w:pStyle w:val="Nadpis3"/>
        <w:shd w:val="clear" w:color="auto" w:fill="FFFFFF"/>
        <w:spacing w:before="0"/>
        <w:rPr>
          <w:rFonts w:ascii="Segoe UI" w:hAnsi="Segoe UI" w:cs="Segoe UI"/>
          <w:color w:val="0B519C"/>
          <w:sz w:val="72"/>
          <w:szCs w:val="72"/>
        </w:rPr>
      </w:pPr>
      <w:r w:rsidRPr="008F58A1">
        <w:rPr>
          <w:rFonts w:ascii="Segoe UI" w:hAnsi="Segoe UI" w:cs="Segoe UI"/>
          <w:b/>
          <w:bCs/>
          <w:color w:val="0B519C"/>
          <w:sz w:val="72"/>
          <w:szCs w:val="72"/>
        </w:rPr>
        <w:t>Jak podat žádost a jakou výši dotace lze získat</w:t>
      </w:r>
    </w:p>
    <w:p w:rsidR="008F58A1" w:rsidRDefault="008F58A1" w:rsidP="00AF115A">
      <w:pPr>
        <w:pStyle w:val="Normlnweb"/>
        <w:shd w:val="clear" w:color="auto" w:fill="FFFFFF"/>
        <w:rPr>
          <w:rFonts w:ascii="Segoe UI" w:hAnsi="Segoe UI" w:cs="Segoe UI"/>
          <w:color w:val="212529"/>
          <w:sz w:val="36"/>
          <w:szCs w:val="36"/>
        </w:rPr>
      </w:pPr>
    </w:p>
    <w:p w:rsidR="00AF115A" w:rsidRDefault="00AF115A" w:rsidP="00AF115A">
      <w:pPr>
        <w:pStyle w:val="Normlnweb"/>
        <w:shd w:val="clear" w:color="auto" w:fill="FFFFFF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Fonts w:ascii="Segoe UI" w:hAnsi="Segoe UI" w:cs="Segoe UI"/>
          <w:color w:val="212529"/>
          <w:sz w:val="36"/>
          <w:szCs w:val="36"/>
        </w:rPr>
        <w:t>Žádosti bude možné podávat </w:t>
      </w:r>
      <w:hyperlink r:id="rId6" w:history="1">
        <w:r w:rsidRPr="00E23228">
          <w:rPr>
            <w:rStyle w:val="Siln"/>
            <w:rFonts w:ascii="Segoe UI" w:hAnsi="Segoe UI" w:cs="Segoe UI"/>
            <w:color w:val="0B519C"/>
            <w:sz w:val="36"/>
            <w:szCs w:val="36"/>
          </w:rPr>
          <w:t>na krajském úřadě</w:t>
        </w:r>
      </w:hyperlink>
      <w:r w:rsidRPr="00E23228">
        <w:rPr>
          <w:rFonts w:ascii="Segoe UI" w:hAnsi="Segoe UI" w:cs="Segoe UI"/>
          <w:color w:val="212529"/>
          <w:sz w:val="36"/>
          <w:szCs w:val="36"/>
        </w:rPr>
        <w:t>, kde lze využít odborné poradenství. Podpora bude poskytována na </w:t>
      </w: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>instalace realizované od 1. 1. 2021 ve výši 95 % ze způsobilých výdajů</w:t>
      </w:r>
      <w:r w:rsidRPr="00E23228">
        <w:rPr>
          <w:rFonts w:ascii="Segoe UI" w:hAnsi="Segoe UI" w:cs="Segoe UI"/>
          <w:color w:val="212529"/>
          <w:sz w:val="36"/>
          <w:szCs w:val="36"/>
        </w:rPr>
        <w:t> s následujícími limity: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5"/>
        <w:gridCol w:w="1638"/>
      </w:tblGrid>
      <w:tr w:rsidR="00AF115A" w:rsidRPr="00E23228" w:rsidTr="00AF115A">
        <w:trPr>
          <w:tblHeader/>
        </w:trPr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AF115A" w:rsidRPr="00E23228" w:rsidRDefault="00AF115A">
            <w:pPr>
              <w:spacing w:after="225"/>
              <w:rPr>
                <w:rFonts w:ascii="Segoe UI" w:hAnsi="Segoe UI" w:cs="Segoe UI"/>
                <w:color w:val="212529"/>
                <w:sz w:val="36"/>
                <w:szCs w:val="36"/>
              </w:rPr>
            </w:pPr>
            <w:r w:rsidRPr="00E23228">
              <w:rPr>
                <w:rStyle w:val="Siln"/>
                <w:rFonts w:ascii="Segoe UI" w:hAnsi="Segoe UI" w:cs="Segoe UI"/>
                <w:color w:val="FFFFFF"/>
                <w:sz w:val="36"/>
                <w:szCs w:val="36"/>
              </w:rPr>
              <w:t>Typ zdroje tepla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AF115A" w:rsidRPr="00E23228" w:rsidRDefault="00AF115A">
            <w:pPr>
              <w:spacing w:after="225"/>
              <w:rPr>
                <w:rFonts w:ascii="Segoe UI" w:hAnsi="Segoe UI" w:cs="Segoe UI"/>
                <w:color w:val="212529"/>
                <w:sz w:val="36"/>
                <w:szCs w:val="36"/>
              </w:rPr>
            </w:pPr>
            <w:r w:rsidRPr="00E23228">
              <w:rPr>
                <w:rStyle w:val="Siln"/>
                <w:rFonts w:ascii="Segoe UI" w:hAnsi="Segoe UI" w:cs="Segoe UI"/>
                <w:color w:val="FFFFFF"/>
                <w:sz w:val="36"/>
                <w:szCs w:val="36"/>
              </w:rPr>
              <w:t>Limit (Kč)</w:t>
            </w:r>
          </w:p>
        </w:tc>
      </w:tr>
      <w:tr w:rsidR="00AF115A" w:rsidRPr="00E23228" w:rsidTr="00AF115A"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F115A" w:rsidRPr="00E23228" w:rsidRDefault="00AF115A">
            <w:pPr>
              <w:spacing w:after="225"/>
              <w:rPr>
                <w:rFonts w:ascii="Segoe UI" w:hAnsi="Segoe UI" w:cs="Segoe UI"/>
                <w:color w:val="212529"/>
                <w:sz w:val="36"/>
                <w:szCs w:val="36"/>
              </w:rPr>
            </w:pPr>
            <w:r w:rsidRPr="00E23228">
              <w:rPr>
                <w:rFonts w:ascii="Segoe UI" w:hAnsi="Segoe UI" w:cs="Segoe UI"/>
                <w:color w:val="212529"/>
                <w:sz w:val="36"/>
                <w:szCs w:val="36"/>
              </w:rPr>
              <w:t>Plynový kondenzační kotel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F115A" w:rsidRPr="00E23228" w:rsidRDefault="00AF115A">
            <w:pPr>
              <w:spacing w:after="225"/>
              <w:jc w:val="center"/>
              <w:rPr>
                <w:rFonts w:ascii="Segoe UI" w:hAnsi="Segoe UI" w:cs="Segoe UI"/>
                <w:color w:val="212529"/>
                <w:sz w:val="36"/>
                <w:szCs w:val="36"/>
              </w:rPr>
            </w:pPr>
            <w:r w:rsidRPr="00E23228">
              <w:rPr>
                <w:rStyle w:val="Siln"/>
                <w:rFonts w:ascii="Segoe UI" w:hAnsi="Segoe UI" w:cs="Segoe UI"/>
                <w:color w:val="212529"/>
                <w:sz w:val="36"/>
                <w:szCs w:val="36"/>
              </w:rPr>
              <w:t>100 000</w:t>
            </w:r>
          </w:p>
        </w:tc>
      </w:tr>
      <w:tr w:rsidR="00AF115A" w:rsidRPr="00E23228" w:rsidTr="00AF115A"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15A" w:rsidRPr="00E23228" w:rsidRDefault="00AF115A">
            <w:pPr>
              <w:spacing w:after="225"/>
              <w:rPr>
                <w:rFonts w:ascii="Segoe UI" w:hAnsi="Segoe UI" w:cs="Segoe UI"/>
                <w:color w:val="212529"/>
                <w:sz w:val="36"/>
                <w:szCs w:val="36"/>
              </w:rPr>
            </w:pPr>
            <w:r w:rsidRPr="00E23228">
              <w:rPr>
                <w:rFonts w:ascii="Segoe UI" w:hAnsi="Segoe UI" w:cs="Segoe UI"/>
                <w:color w:val="212529"/>
                <w:sz w:val="36"/>
                <w:szCs w:val="36"/>
              </w:rPr>
              <w:t>Kotel na biomasu s ruční dodávkou paliva, vč. akumulační nádrže/se samočinnou dodávkou paliva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15A" w:rsidRPr="00E23228" w:rsidRDefault="00AF115A">
            <w:pPr>
              <w:spacing w:after="225"/>
              <w:jc w:val="center"/>
              <w:rPr>
                <w:rFonts w:ascii="Segoe UI" w:hAnsi="Segoe UI" w:cs="Segoe UI"/>
                <w:color w:val="212529"/>
                <w:sz w:val="36"/>
                <w:szCs w:val="36"/>
              </w:rPr>
            </w:pPr>
            <w:r w:rsidRPr="00E23228">
              <w:rPr>
                <w:rStyle w:val="Siln"/>
                <w:rFonts w:ascii="Segoe UI" w:hAnsi="Segoe UI" w:cs="Segoe UI"/>
                <w:color w:val="212529"/>
                <w:sz w:val="36"/>
                <w:szCs w:val="36"/>
              </w:rPr>
              <w:t>130 000</w:t>
            </w:r>
          </w:p>
        </w:tc>
      </w:tr>
      <w:tr w:rsidR="00AF115A" w:rsidRPr="00E23228" w:rsidTr="00AF115A"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F115A" w:rsidRPr="00E23228" w:rsidRDefault="00AF115A">
            <w:pPr>
              <w:spacing w:after="225"/>
              <w:rPr>
                <w:rFonts w:ascii="Segoe UI" w:hAnsi="Segoe UI" w:cs="Segoe UI"/>
                <w:color w:val="212529"/>
                <w:sz w:val="36"/>
                <w:szCs w:val="36"/>
              </w:rPr>
            </w:pPr>
            <w:r w:rsidRPr="00E23228">
              <w:rPr>
                <w:rFonts w:ascii="Segoe UI" w:hAnsi="Segoe UI" w:cs="Segoe UI"/>
                <w:color w:val="212529"/>
                <w:sz w:val="36"/>
                <w:szCs w:val="36"/>
              </w:rPr>
              <w:t>Tepelné čerpadlo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F115A" w:rsidRPr="00E23228" w:rsidRDefault="00AF115A">
            <w:pPr>
              <w:spacing w:after="225"/>
              <w:jc w:val="center"/>
              <w:rPr>
                <w:rFonts w:ascii="Segoe UI" w:hAnsi="Segoe UI" w:cs="Segoe UI"/>
                <w:color w:val="212529"/>
                <w:sz w:val="36"/>
                <w:szCs w:val="36"/>
              </w:rPr>
            </w:pPr>
            <w:r w:rsidRPr="00E23228">
              <w:rPr>
                <w:rStyle w:val="Siln"/>
                <w:rFonts w:ascii="Segoe UI" w:hAnsi="Segoe UI" w:cs="Segoe UI"/>
                <w:color w:val="212529"/>
                <w:sz w:val="36"/>
                <w:szCs w:val="36"/>
              </w:rPr>
              <w:t>130 000</w:t>
            </w:r>
          </w:p>
        </w:tc>
      </w:tr>
    </w:tbl>
    <w:p w:rsidR="00AF115A" w:rsidRPr="008F58A1" w:rsidRDefault="00AF115A" w:rsidP="008F58A1">
      <w:pPr>
        <w:pStyle w:val="Normlnweb"/>
        <w:shd w:val="clear" w:color="auto" w:fill="FFFFFF"/>
        <w:rPr>
          <w:rFonts w:ascii="Segoe UI" w:hAnsi="Segoe UI" w:cs="Segoe UI"/>
          <w:color w:val="0B519C"/>
          <w:sz w:val="72"/>
          <w:szCs w:val="72"/>
        </w:rPr>
      </w:pPr>
      <w:r w:rsidRPr="00E23228">
        <w:rPr>
          <w:rFonts w:ascii="Segoe UI" w:hAnsi="Segoe UI" w:cs="Segoe UI"/>
          <w:color w:val="212529"/>
          <w:sz w:val="36"/>
          <w:szCs w:val="36"/>
        </w:rPr>
        <w:t> </w:t>
      </w:r>
      <w:r w:rsidRPr="008F58A1">
        <w:rPr>
          <w:rFonts w:ascii="Segoe UI" w:hAnsi="Segoe UI" w:cs="Segoe UI"/>
          <w:b/>
          <w:bCs/>
          <w:color w:val="0B519C"/>
          <w:sz w:val="72"/>
          <w:szCs w:val="72"/>
        </w:rPr>
        <w:t>Příjem žádostí</w:t>
      </w:r>
    </w:p>
    <w:p w:rsidR="00AF115A" w:rsidRPr="00E23228" w:rsidRDefault="00AF115A" w:rsidP="00AF115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36"/>
          <w:szCs w:val="36"/>
        </w:rPr>
      </w:pP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>začátek roku 2022</w:t>
      </w:r>
    </w:p>
    <w:p w:rsidR="00AF115A" w:rsidRPr="00E23228" w:rsidRDefault="00AF115A" w:rsidP="00AF115A">
      <w:pPr>
        <w:pStyle w:val="Nadpis3"/>
        <w:shd w:val="clear" w:color="auto" w:fill="FFFFFF"/>
        <w:spacing w:before="0"/>
        <w:rPr>
          <w:rFonts w:ascii="Segoe UI" w:hAnsi="Segoe UI" w:cs="Segoe UI"/>
          <w:color w:val="0B519C"/>
          <w:sz w:val="36"/>
          <w:szCs w:val="36"/>
        </w:rPr>
      </w:pPr>
      <w:r w:rsidRPr="00E23228">
        <w:rPr>
          <w:rFonts w:ascii="Segoe UI" w:hAnsi="Segoe UI" w:cs="Segoe UI"/>
          <w:b/>
          <w:bCs/>
          <w:color w:val="0B519C"/>
          <w:sz w:val="36"/>
          <w:szCs w:val="36"/>
        </w:rPr>
        <w:t>Kam se obrátit pro více informací</w:t>
      </w:r>
    </w:p>
    <w:p w:rsidR="00AF115A" w:rsidRPr="00E23228" w:rsidRDefault="00AF115A" w:rsidP="00AF115A">
      <w:pPr>
        <w:pStyle w:val="Normlnweb"/>
        <w:shd w:val="clear" w:color="auto" w:fill="FFFFFF"/>
        <w:rPr>
          <w:rStyle w:val="Siln"/>
          <w:rFonts w:ascii="Segoe UI" w:hAnsi="Segoe UI" w:cs="Segoe UI"/>
          <w:color w:val="212529"/>
          <w:sz w:val="36"/>
          <w:szCs w:val="36"/>
        </w:rPr>
      </w:pPr>
      <w:r w:rsidRPr="00E23228">
        <w:rPr>
          <w:rStyle w:val="Siln"/>
          <w:rFonts w:ascii="Segoe UI" w:hAnsi="Segoe UI" w:cs="Segoe UI"/>
          <w:color w:val="212529"/>
          <w:sz w:val="36"/>
          <w:szCs w:val="36"/>
        </w:rPr>
        <w:t>Dotace budou poskytovat krajské úřady. Kontaktujte svůj krajský úřad.</w:t>
      </w:r>
    </w:p>
    <w:p w:rsidR="00976069" w:rsidRPr="00976069" w:rsidRDefault="00976069" w:rsidP="00976069"/>
    <w:p w:rsidR="005A6FD1" w:rsidRDefault="00DE5964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  <w:r w:rsidRPr="00FD3CC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60EC3B6" wp14:editId="4F76DFCE">
            <wp:simplePos x="0" y="0"/>
            <wp:positionH relativeFrom="margin">
              <wp:align>right</wp:align>
            </wp:positionH>
            <wp:positionV relativeFrom="paragraph">
              <wp:posOffset>257811</wp:posOffset>
            </wp:positionV>
            <wp:extent cx="9912434" cy="402590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tlíkové dota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434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</w:p>
    <w:p w:rsidR="00976069" w:rsidRPr="008F58A1" w:rsidRDefault="00976069" w:rsidP="00976069">
      <w:pPr>
        <w:pStyle w:val="Nadpis2"/>
        <w:shd w:val="clear" w:color="auto" w:fill="FFFFFF"/>
        <w:spacing w:before="0"/>
        <w:rPr>
          <w:rFonts w:ascii="Segoe UI" w:hAnsi="Segoe UI" w:cs="Segoe UI"/>
          <w:color w:val="70AD47" w:themeColor="accent6"/>
          <w:sz w:val="68"/>
          <w:szCs w:val="68"/>
          <w:u w:val="single"/>
        </w:rPr>
      </w:pPr>
      <w:r w:rsidRPr="008F58A1">
        <w:rPr>
          <w:rStyle w:val="Siln"/>
          <w:rFonts w:ascii="Segoe UI" w:hAnsi="Segoe UI" w:cs="Segoe UI"/>
          <w:bCs w:val="0"/>
          <w:color w:val="70AD47" w:themeColor="accent6"/>
          <w:sz w:val="68"/>
          <w:szCs w:val="68"/>
          <w:u w:val="single"/>
        </w:rPr>
        <w:t>Dotace na výměnu kotlů pro ostatní domácnosti</w:t>
      </w:r>
    </w:p>
    <w:p w:rsidR="00976069" w:rsidRPr="008F58A1" w:rsidRDefault="00976069" w:rsidP="00976069">
      <w:pPr>
        <w:pStyle w:val="Normlnweb"/>
        <w:shd w:val="clear" w:color="auto" w:fill="FFFFFF"/>
        <w:rPr>
          <w:rFonts w:ascii="Segoe UI" w:hAnsi="Segoe UI" w:cs="Segoe UI"/>
          <w:bCs/>
          <w:color w:val="70AD47" w:themeColor="accent6"/>
          <w:sz w:val="48"/>
          <w:szCs w:val="48"/>
        </w:rPr>
      </w:pPr>
      <w:r w:rsidRPr="008F58A1">
        <w:rPr>
          <w:rStyle w:val="Siln"/>
          <w:rFonts w:ascii="Segoe UI" w:hAnsi="Segoe UI" w:cs="Segoe UI"/>
          <w:color w:val="70AD47" w:themeColor="accent6"/>
          <w:sz w:val="48"/>
          <w:szCs w:val="48"/>
          <w:u w:val="single"/>
        </w:rPr>
        <w:t>Nová zelená úsporám</w:t>
      </w:r>
      <w:r w:rsidRPr="008F58A1">
        <w:rPr>
          <w:rStyle w:val="Siln"/>
          <w:rFonts w:ascii="Segoe UI" w:hAnsi="Segoe UI" w:cs="Segoe UI"/>
          <w:b w:val="0"/>
          <w:color w:val="70AD47" w:themeColor="accent6"/>
          <w:sz w:val="48"/>
          <w:szCs w:val="48"/>
        </w:rPr>
        <w:t xml:space="preserve"> rozdělí 8,5 mld. Kč na výměnu zhruba 100 000 kotlů. Žádosti bude možné podávat od podzimu 2021 </w:t>
      </w:r>
      <w:r w:rsidRPr="008F58A1">
        <w:rPr>
          <w:rStyle w:val="Siln"/>
          <w:rFonts w:ascii="Segoe UI" w:hAnsi="Segoe UI" w:cs="Segoe UI"/>
          <w:b w:val="0"/>
          <w:color w:val="70AD47" w:themeColor="accent6"/>
          <w:sz w:val="48"/>
          <w:szCs w:val="48"/>
        </w:rPr>
        <w:lastRenderedPageBreak/>
        <w:t>přes </w:t>
      </w:r>
      <w:hyperlink r:id="rId8" w:tgtFrame="_blank" w:history="1">
        <w:r w:rsidRPr="008F58A1">
          <w:rPr>
            <w:rStyle w:val="Hypertextovodkaz"/>
            <w:rFonts w:ascii="Segoe UI" w:hAnsi="Segoe UI" w:cs="Segoe UI"/>
            <w:b/>
            <w:bCs/>
            <w:color w:val="70AD47" w:themeColor="accent6"/>
            <w:sz w:val="48"/>
            <w:szCs w:val="48"/>
          </w:rPr>
          <w:t>www.novazelenausporam.cz</w:t>
        </w:r>
      </w:hyperlink>
      <w:r w:rsidRPr="008F58A1">
        <w:rPr>
          <w:rStyle w:val="Siln"/>
          <w:rFonts w:ascii="Segoe UI" w:hAnsi="Segoe UI" w:cs="Segoe UI"/>
          <w:b w:val="0"/>
          <w:color w:val="70AD47" w:themeColor="accent6"/>
          <w:sz w:val="48"/>
          <w:szCs w:val="48"/>
        </w:rPr>
        <w:t xml:space="preserve"> a dotace bude činit až 50 % způsobilých výdajů. </w:t>
      </w:r>
      <w:r w:rsidRPr="008F58A1">
        <w:rPr>
          <w:rFonts w:ascii="Segoe UI" w:hAnsi="Segoe UI" w:cs="Segoe UI"/>
          <w:b/>
          <w:color w:val="70AD47" w:themeColor="accent6"/>
          <w:sz w:val="48"/>
          <w:szCs w:val="48"/>
        </w:rPr>
        <w:t xml:space="preserve"> </w:t>
      </w:r>
    </w:p>
    <w:p w:rsidR="00976069" w:rsidRPr="00E23228" w:rsidRDefault="00976069" w:rsidP="00FD3CCB">
      <w:pPr>
        <w:jc w:val="both"/>
        <w:rPr>
          <w:rFonts w:ascii="Times New Roman" w:hAnsi="Times New Roman" w:cs="Times New Roman"/>
          <w:color w:val="70AD47" w:themeColor="accent6"/>
          <w:sz w:val="36"/>
          <w:szCs w:val="36"/>
        </w:rPr>
      </w:pPr>
      <w:r>
        <w:rPr>
          <w:rFonts w:ascii="Times New Roman" w:hAnsi="Times New Roman" w:cs="Times New Roman"/>
          <w:color w:val="70AD47" w:themeColor="accent6"/>
          <w:sz w:val="36"/>
          <w:szCs w:val="36"/>
        </w:rPr>
        <w:t xml:space="preserve"> </w:t>
      </w:r>
    </w:p>
    <w:sectPr w:rsidR="00976069" w:rsidRPr="00E23228" w:rsidSect="00976069">
      <w:pgSz w:w="16839" w:h="23814" w:code="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ue Haas Grotesk Text Pro">
    <w:altName w:val="Segoe Script"/>
    <w:charset w:val="EE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154"/>
    <w:multiLevelType w:val="multilevel"/>
    <w:tmpl w:val="4DD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5277D"/>
    <w:multiLevelType w:val="multilevel"/>
    <w:tmpl w:val="452E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837C1"/>
    <w:multiLevelType w:val="multilevel"/>
    <w:tmpl w:val="3F04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123FB"/>
    <w:multiLevelType w:val="multilevel"/>
    <w:tmpl w:val="0418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31F56"/>
    <w:multiLevelType w:val="multilevel"/>
    <w:tmpl w:val="C12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30F3F"/>
    <w:multiLevelType w:val="multilevel"/>
    <w:tmpl w:val="4F80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D2800"/>
    <w:multiLevelType w:val="multilevel"/>
    <w:tmpl w:val="65D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5C"/>
    <w:rsid w:val="0008125C"/>
    <w:rsid w:val="00271282"/>
    <w:rsid w:val="005A6FD1"/>
    <w:rsid w:val="005E057F"/>
    <w:rsid w:val="006824EA"/>
    <w:rsid w:val="00830B0C"/>
    <w:rsid w:val="008F58A1"/>
    <w:rsid w:val="008F6C50"/>
    <w:rsid w:val="00976069"/>
    <w:rsid w:val="009A69F9"/>
    <w:rsid w:val="00A33C96"/>
    <w:rsid w:val="00AF115A"/>
    <w:rsid w:val="00B0226D"/>
    <w:rsid w:val="00BB00ED"/>
    <w:rsid w:val="00C44E69"/>
    <w:rsid w:val="00C6557F"/>
    <w:rsid w:val="00D121C7"/>
    <w:rsid w:val="00DE1DE3"/>
    <w:rsid w:val="00DE5964"/>
    <w:rsid w:val="00E23228"/>
    <w:rsid w:val="00ED278A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AF2A-E033-442D-BEA9-7A338FD8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25C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D121C7"/>
    <w:pPr>
      <w:spacing w:before="360" w:after="168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1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1C7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21C7"/>
    <w:rPr>
      <w:strike w:val="0"/>
      <w:dstrike w:val="0"/>
      <w:color w:val="20558D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121C7"/>
    <w:rPr>
      <w:b/>
      <w:bCs/>
    </w:rPr>
  </w:style>
  <w:style w:type="paragraph" w:styleId="Normlnweb">
    <w:name w:val="Normal (Web)"/>
    <w:basedOn w:val="Normln"/>
    <w:uiPriority w:val="99"/>
    <w:unhideWhenUsed/>
    <w:rsid w:val="00D121C7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0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AF11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1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2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06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8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1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30.novazelenauspora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zp.cz/o-programu/kotlikove-dotace/kontakty-na-kraj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Koryčanová Alena</dc:creator>
  <cp:keywords/>
  <dc:description/>
  <cp:lastModifiedBy>Sazovice</cp:lastModifiedBy>
  <cp:revision>2</cp:revision>
  <cp:lastPrinted>2021-10-05T14:11:00Z</cp:lastPrinted>
  <dcterms:created xsi:type="dcterms:W3CDTF">2021-10-06T15:09:00Z</dcterms:created>
  <dcterms:modified xsi:type="dcterms:W3CDTF">2021-10-06T15:09:00Z</dcterms:modified>
</cp:coreProperties>
</file>